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BA4" w:rsidRPr="00C15D06" w:rsidRDefault="009C1BA4" w:rsidP="009C1BA4">
      <w:pPr>
        <w:ind w:left="360"/>
        <w:rPr>
          <w:color w:val="C00000"/>
          <w:sz w:val="20"/>
          <w:szCs w:val="20"/>
        </w:rPr>
      </w:pPr>
      <w:r w:rsidRPr="00C15D06">
        <w:rPr>
          <w:color w:val="C00000"/>
          <w:sz w:val="20"/>
          <w:szCs w:val="20"/>
        </w:rPr>
        <w:t>62.Общая методика расчета экономической эффективности.</w:t>
      </w:r>
    </w:p>
    <w:p w:rsidR="009C1BA4" w:rsidRDefault="009C1BA4" w:rsidP="009C1BA4">
      <w:pPr>
        <w:tabs>
          <w:tab w:val="center" w:pos="4857"/>
        </w:tabs>
        <w:ind w:firstLine="360"/>
      </w:pPr>
      <w:r>
        <w:t>при определении экономической эффективности инноваций используется вариантный подход и методы сравнительной экономической эффективности.</w:t>
      </w:r>
    </w:p>
    <w:p w:rsidR="009C1BA4" w:rsidRDefault="009C1BA4" w:rsidP="009C1BA4">
      <w:pPr>
        <w:tabs>
          <w:tab w:val="center" w:pos="4857"/>
        </w:tabs>
        <w:ind w:firstLine="360"/>
      </w:pPr>
      <w:r>
        <w:t xml:space="preserve">Вариантный подход предполагает, что целевая установка экономии (себестоимости) может быть достигнута путем </w:t>
      </w:r>
      <w:proofErr w:type="gramStart"/>
      <w:r>
        <w:t>с</w:t>
      </w:r>
      <w:proofErr w:type="gramEnd"/>
      <w:r>
        <w:t xml:space="preserve"> и </w:t>
      </w:r>
      <w:proofErr w:type="gramStart"/>
      <w:r>
        <w:t>без</w:t>
      </w:r>
      <w:proofErr w:type="gramEnd"/>
      <w:r>
        <w:t xml:space="preserve"> инноваций и в том и другом случае требуются дополнительные затраты капитального характера.</w:t>
      </w:r>
    </w:p>
    <w:p w:rsidR="009C1BA4" w:rsidRDefault="009C1BA4" w:rsidP="009C1BA4">
      <w:pPr>
        <w:tabs>
          <w:tab w:val="center" w:pos="4857"/>
        </w:tabs>
        <w:ind w:firstLine="360"/>
      </w:pPr>
      <w:r>
        <w:t>Методы сравнительной экономической эффективности обуславливают, что:</w:t>
      </w:r>
    </w:p>
    <w:p w:rsidR="009C1BA4" w:rsidRDefault="009C1BA4" w:rsidP="009C1BA4">
      <w:pPr>
        <w:numPr>
          <w:ilvl w:val="0"/>
          <w:numId w:val="1"/>
        </w:numPr>
        <w:tabs>
          <w:tab w:val="center" w:pos="4857"/>
        </w:tabs>
      </w:pPr>
      <w:r>
        <w:t>результат выражается в экономии себестоимости;</w:t>
      </w:r>
    </w:p>
    <w:p w:rsidR="009C1BA4" w:rsidRDefault="009C1BA4" w:rsidP="009C1BA4">
      <w:pPr>
        <w:numPr>
          <w:ilvl w:val="0"/>
          <w:numId w:val="1"/>
        </w:numPr>
        <w:tabs>
          <w:tab w:val="center" w:pos="4857"/>
        </w:tabs>
      </w:pPr>
      <w:r>
        <w:t>затраты рассматриваются как единовременные.</w:t>
      </w:r>
    </w:p>
    <w:p w:rsidR="009C1BA4" w:rsidRDefault="009C1BA4" w:rsidP="009C1BA4">
      <w:pPr>
        <w:tabs>
          <w:tab w:val="center" w:pos="4857"/>
        </w:tabs>
        <w:ind w:firstLine="360"/>
      </w:pPr>
      <w:r>
        <w:t>Для определения эффективности рассчитывается коэффициент экономической эффективности инвестиций:</w:t>
      </w:r>
    </w:p>
    <w:p w:rsidR="009C1BA4" w:rsidRDefault="009C1BA4" w:rsidP="009C1BA4">
      <w:pPr>
        <w:tabs>
          <w:tab w:val="center" w:pos="4857"/>
        </w:tabs>
        <w:ind w:firstLine="360"/>
        <w:jc w:val="center"/>
      </w:pPr>
      <w:r w:rsidRPr="004077B6">
        <w:rPr>
          <w:position w:val="-30"/>
        </w:rPr>
        <w:object w:dxaOrig="14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05pt;height:35.3pt" o:ole="">
            <v:imagedata r:id="rId5" o:title=""/>
          </v:shape>
          <o:OLEObject Type="Embed" ProgID="Equation.3" ShapeID="_x0000_i1025" DrawAspect="Content" ObjectID="_1369240706" r:id="rId6"/>
        </w:object>
      </w:r>
    </w:p>
    <w:p w:rsidR="009C1BA4" w:rsidRDefault="009C1BA4" w:rsidP="009C1BA4">
      <w:pPr>
        <w:tabs>
          <w:tab w:val="center" w:pos="4857"/>
        </w:tabs>
        <w:ind w:firstLine="360"/>
      </w:pPr>
      <w:r>
        <w:t>С</w:t>
      </w:r>
      <w:proofErr w:type="gramStart"/>
      <w:r>
        <w:rPr>
          <w:vertAlign w:val="subscript"/>
        </w:rPr>
        <w:t>1</w:t>
      </w:r>
      <w:proofErr w:type="gramEnd"/>
      <w:r>
        <w:t>, С</w:t>
      </w:r>
      <w:r>
        <w:rPr>
          <w:vertAlign w:val="subscript"/>
        </w:rPr>
        <w:t>2</w:t>
      </w:r>
      <w:r>
        <w:t xml:space="preserve"> – себестоимость (текущие затраты) годового объема выпуска продукции по вариантам с и без инноваций;</w:t>
      </w:r>
    </w:p>
    <w:p w:rsidR="009C1BA4" w:rsidRDefault="009C1BA4" w:rsidP="009C1BA4">
      <w:pPr>
        <w:tabs>
          <w:tab w:val="center" w:pos="4857"/>
        </w:tabs>
        <w:ind w:firstLine="360"/>
      </w:pPr>
      <w:r>
        <w:t>К</w:t>
      </w:r>
      <w:r>
        <w:rPr>
          <w:vertAlign w:val="subscript"/>
        </w:rPr>
        <w:t>1</w:t>
      </w:r>
      <w:r>
        <w:t>, К</w:t>
      </w:r>
      <w:r>
        <w:rPr>
          <w:vertAlign w:val="subscript"/>
        </w:rPr>
        <w:t>2</w:t>
      </w:r>
      <w:r>
        <w:t xml:space="preserve"> – </w:t>
      </w:r>
      <w:proofErr w:type="spellStart"/>
      <w:r>
        <w:t>средневременные</w:t>
      </w:r>
      <w:proofErr w:type="spellEnd"/>
      <w:r>
        <w:t xml:space="preserve"> затрат</w:t>
      </w:r>
      <w:proofErr w:type="gramStart"/>
      <w:r>
        <w:t>ы(</w:t>
      </w:r>
      <w:proofErr w:type="gramEnd"/>
      <w:r>
        <w:t>капиталовложения) по сравниваемым вариантам.</w:t>
      </w:r>
    </w:p>
    <w:p w:rsidR="009C1BA4" w:rsidRDefault="009C1BA4" w:rsidP="009C1BA4">
      <w:pPr>
        <w:tabs>
          <w:tab w:val="center" w:pos="4857"/>
        </w:tabs>
        <w:ind w:firstLine="360"/>
      </w:pPr>
      <w:r>
        <w:t>Соответственно рассчитывается срок окупаемости капиталовложения, осуществляемого для реализации вариантов:</w:t>
      </w:r>
    </w:p>
    <w:p w:rsidR="009C1BA4" w:rsidRDefault="009C1BA4" w:rsidP="009C1BA4">
      <w:pPr>
        <w:tabs>
          <w:tab w:val="center" w:pos="4857"/>
        </w:tabs>
        <w:ind w:firstLine="360"/>
        <w:jc w:val="center"/>
      </w:pPr>
      <w:r w:rsidRPr="009B1408">
        <w:rPr>
          <w:position w:val="-30"/>
        </w:rPr>
        <w:object w:dxaOrig="1400" w:dyaOrig="700">
          <v:shape id="_x0000_i1026" type="#_x0000_t75" style="width:69.95pt;height:35.3pt" o:ole="">
            <v:imagedata r:id="rId7" o:title=""/>
          </v:shape>
          <o:OLEObject Type="Embed" ProgID="Equation.3" ShapeID="_x0000_i1026" DrawAspect="Content" ObjectID="_1369240707" r:id="rId8"/>
        </w:object>
      </w:r>
    </w:p>
    <w:p w:rsidR="009C1BA4" w:rsidRDefault="009C1BA4" w:rsidP="009C1BA4">
      <w:pPr>
        <w:tabs>
          <w:tab w:val="center" w:pos="4857"/>
        </w:tabs>
        <w:ind w:firstLine="360"/>
      </w:pPr>
      <w:r>
        <w:t>Поскольку при финансировании вариантов имеет место разновременность осуществления затрат и получаемого эффекта, из системы методов сравнительной экономической эффективности используется метод приведения к единому моменту времени (метод приведенных затрат). Применение данного метода позволяет определить годовой экономический эффе</w:t>
      </w:r>
      <w:proofErr w:type="gramStart"/>
      <w:r>
        <w:t>кт в сл</w:t>
      </w:r>
      <w:proofErr w:type="gramEnd"/>
      <w:r>
        <w:t>учае предпочтения внедрение варианта с инновацией:</w:t>
      </w:r>
    </w:p>
    <w:p w:rsidR="009C1BA4" w:rsidRDefault="009C1BA4" w:rsidP="009C1BA4">
      <w:pPr>
        <w:tabs>
          <w:tab w:val="center" w:pos="4857"/>
        </w:tabs>
        <w:ind w:firstLine="360"/>
        <w:jc w:val="center"/>
      </w:pPr>
      <w:r w:rsidRPr="00020C87">
        <w:rPr>
          <w:position w:val="-14"/>
        </w:rPr>
        <w:object w:dxaOrig="2360" w:dyaOrig="380">
          <v:shape id="_x0000_i1027" type="#_x0000_t75" style="width:118.2pt;height:19pt" o:ole="">
            <v:imagedata r:id="rId9" o:title=""/>
          </v:shape>
          <o:OLEObject Type="Embed" ProgID="Equation.3" ShapeID="_x0000_i1027" DrawAspect="Content" ObjectID="_1369240708" r:id="rId10"/>
        </w:object>
      </w:r>
    </w:p>
    <w:p w:rsidR="009C1BA4" w:rsidRDefault="009C1BA4" w:rsidP="009C1BA4">
      <w:pPr>
        <w:tabs>
          <w:tab w:val="center" w:pos="4857"/>
        </w:tabs>
        <w:ind w:firstLine="360"/>
      </w:pPr>
      <w:r>
        <w:t>ПЗ</w:t>
      </w:r>
      <w:proofErr w:type="gramStart"/>
      <w:r>
        <w:rPr>
          <w:vertAlign w:val="subscript"/>
        </w:rPr>
        <w:t>1</w:t>
      </w:r>
      <w:proofErr w:type="gramEnd"/>
      <w:r>
        <w:rPr>
          <w:vertAlign w:val="subscript"/>
        </w:rPr>
        <w:t>,</w:t>
      </w:r>
      <w:r>
        <w:t xml:space="preserve"> ПЗ</w:t>
      </w:r>
      <w:r>
        <w:rPr>
          <w:vertAlign w:val="subscript"/>
        </w:rPr>
        <w:t>2</w:t>
      </w:r>
      <w:r>
        <w:t xml:space="preserve"> – приведенные затрат по рассматриваемым вариантам;</w:t>
      </w:r>
    </w:p>
    <w:p w:rsidR="009C1BA4" w:rsidRDefault="009C1BA4" w:rsidP="009C1BA4">
      <w:pPr>
        <w:tabs>
          <w:tab w:val="center" w:pos="4857"/>
        </w:tabs>
        <w:ind w:firstLine="360"/>
      </w:pPr>
      <w:proofErr w:type="gramStart"/>
      <w:r>
        <w:rPr>
          <w:lang w:val="en-US"/>
        </w:rPr>
        <w:t>V</w:t>
      </w:r>
      <w:r>
        <w:rPr>
          <w:vertAlign w:val="subscript"/>
        </w:rPr>
        <w:t>ВП2</w:t>
      </w:r>
      <w:r>
        <w:t xml:space="preserve"> – объем выпуска продукции в год.</w:t>
      </w:r>
      <w:proofErr w:type="gramEnd"/>
    </w:p>
    <w:p w:rsidR="009C1BA4" w:rsidRDefault="009C1BA4" w:rsidP="009C1BA4">
      <w:pPr>
        <w:tabs>
          <w:tab w:val="center" w:pos="4857"/>
        </w:tabs>
        <w:ind w:firstLine="360"/>
      </w:pPr>
      <w:r>
        <w:t>Повышение инновационного уровня производства отражается в структурных изменениях персонала предприятия, в частности увеличивается доля высококвалифицированных работников в активной части основных фондов, т. е. увеличивается доля производственных автоматов и полуавтоматов, оборудования, основанных на новых электронных технологиях и т.д.</w:t>
      </w:r>
    </w:p>
    <w:p w:rsidR="006C4809" w:rsidRDefault="006C4809"/>
    <w:sectPr w:rsidR="006C4809" w:rsidSect="006C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D187C"/>
    <w:multiLevelType w:val="hybridMultilevel"/>
    <w:tmpl w:val="7C4838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1BA4"/>
    <w:rsid w:val="00111A99"/>
    <w:rsid w:val="006C4809"/>
    <w:rsid w:val="009C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Швидкий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2011-06-10T14:55:00Z</dcterms:created>
  <dcterms:modified xsi:type="dcterms:W3CDTF">2011-06-10T15:52:00Z</dcterms:modified>
</cp:coreProperties>
</file>